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postproducción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b w:val="1"/>
          <w:bCs w:val="1"/>
          <w:i w:val="1"/>
          <w:iCs w:val="1"/>
          <w:sz w:val="20"/>
          <w:szCs w:val="20"/>
          <w:rtl w:val="0"/>
        </w:rPr>
        <w:t xml:space="preserve">Postproducción 1 (continuidad) o Postproducción 2 </w:t>
      </w:r>
      <w:r w:rsidDel="00000000" w:rsidR="00000000" w:rsidRPr="00000000">
        <w:rPr>
          <w:sz w:val="20"/>
          <w:szCs w:val="20"/>
          <w:rtl w:val="0"/>
        </w:rPr>
        <w:t xml:space="preserve">(según sea el caso)</w:t>
      </w:r>
      <w:r w:rsidDel="00000000" w:rsidR="00000000" w:rsidRPr="00000000">
        <w:rPr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correspondiente, de acuerdo con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JaT7j3KnohBbOQFZ2pLnbAFKg==">CgMxLjA4AHIhMWV3Y1Z1RldLUzVUT19uaVF2Yi02bjVUclJzbU5hYzln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